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89F5" w14:textId="20A08404" w:rsidR="004E6CAB" w:rsidRPr="00F4400F" w:rsidRDefault="00F1222D" w:rsidP="00F44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0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Роз’</w:t>
      </w:r>
      <w:proofErr w:type="spellStart"/>
      <w:r w:rsidRPr="00F4400F">
        <w:rPr>
          <w:rFonts w:ascii="Times New Roman" w:hAnsi="Times New Roman" w:cs="Times New Roman"/>
          <w:b/>
          <w:bCs/>
          <w:sz w:val="28"/>
          <w:szCs w:val="28"/>
        </w:rPr>
        <w:t>яснення</w:t>
      </w:r>
      <w:proofErr w:type="spellEnd"/>
      <w:r w:rsidRPr="00F4400F">
        <w:rPr>
          <w:rFonts w:ascii="Times New Roman" w:hAnsi="Times New Roman" w:cs="Times New Roman"/>
          <w:b/>
          <w:bCs/>
          <w:sz w:val="28"/>
          <w:szCs w:val="28"/>
        </w:rPr>
        <w:t xml:space="preserve"> щодо обсягу теплової енергії (ТЕ) на забезпечення функціонування </w:t>
      </w:r>
      <w:proofErr w:type="spellStart"/>
      <w:proofErr w:type="gramStart"/>
      <w:r w:rsidR="004E6CAB" w:rsidRPr="00F4400F">
        <w:rPr>
          <w:rFonts w:ascii="Times New Roman" w:hAnsi="Times New Roman" w:cs="Times New Roman"/>
          <w:b/>
          <w:bCs/>
          <w:sz w:val="28"/>
          <w:szCs w:val="28"/>
        </w:rPr>
        <w:t>внутрішньобудинкової</w:t>
      </w:r>
      <w:proofErr w:type="spellEnd"/>
      <w:r w:rsidR="004E6CAB" w:rsidRPr="00F4400F">
        <w:rPr>
          <w:rFonts w:ascii="Times New Roman" w:hAnsi="Times New Roman" w:cs="Times New Roman"/>
          <w:b/>
          <w:bCs/>
          <w:sz w:val="28"/>
          <w:szCs w:val="28"/>
        </w:rPr>
        <w:t xml:space="preserve">  системи</w:t>
      </w:r>
      <w:proofErr w:type="gramEnd"/>
      <w:r w:rsidR="004E6CAB" w:rsidRPr="00F4400F">
        <w:rPr>
          <w:rFonts w:ascii="Times New Roman" w:hAnsi="Times New Roman" w:cs="Times New Roman"/>
          <w:b/>
          <w:bCs/>
          <w:sz w:val="28"/>
          <w:szCs w:val="28"/>
        </w:rPr>
        <w:t xml:space="preserve"> опалення (ВБС)</w:t>
      </w:r>
    </w:p>
    <w:p w14:paraId="6232DF80" w14:textId="77777777" w:rsidR="00A40E72" w:rsidRPr="00296414" w:rsidRDefault="004E6CAB" w:rsidP="00A40E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296414">
        <w:rPr>
          <w:sz w:val="28"/>
          <w:szCs w:val="28"/>
        </w:rPr>
        <w:t>Відповідно до змін у діючому законодавстві, а саме: Постанова КМУ № 830 зі змінами, внесеними Постановою КМУ 1022 від 08.09.2021 року «</w:t>
      </w:r>
      <w:r w:rsidR="00A40E72" w:rsidRPr="00296414">
        <w:rPr>
          <w:color w:val="333333"/>
          <w:sz w:val="28"/>
          <w:szCs w:val="28"/>
        </w:rPr>
        <w:t>Визначений за допомогою вузла (вузлів) комерційного обліку (а у випадках, передбачених </w:t>
      </w:r>
      <w:hyperlink r:id="rId5" w:anchor="n133" w:tgtFrame="_blank" w:history="1">
        <w:r w:rsidR="00A40E72" w:rsidRPr="00296414">
          <w:rPr>
            <w:rStyle w:val="a3"/>
            <w:color w:val="000099"/>
            <w:sz w:val="28"/>
            <w:szCs w:val="28"/>
          </w:rPr>
          <w:t>частиною другою</w:t>
        </w:r>
      </w:hyperlink>
      <w:r w:rsidR="00A40E72" w:rsidRPr="00296414">
        <w:rPr>
          <w:color w:val="333333"/>
          <w:sz w:val="28"/>
          <w:szCs w:val="28"/>
        </w:rPr>
        <w:t xml:space="preserve"> статті 9 Закону України “Про комерційний облік теплової енергії та водопостачання”, - за розрахунковим або середнім обсягом споживання) обсяг спожитої у будівлі теплової енергії включає </w:t>
      </w:r>
      <w:r w:rsidR="00A40E72" w:rsidRPr="00F4400F">
        <w:rPr>
          <w:b/>
          <w:bCs/>
          <w:color w:val="333333"/>
          <w:sz w:val="28"/>
          <w:szCs w:val="28"/>
        </w:rPr>
        <w:t>обсяги теплової енергії на опалення житлових та нежитлових приміщень, які є самостійними об’єктами нерухомого майна</w:t>
      </w:r>
      <w:r w:rsidR="00A40E72" w:rsidRPr="00296414">
        <w:rPr>
          <w:color w:val="333333"/>
          <w:sz w:val="28"/>
          <w:szCs w:val="28"/>
        </w:rPr>
        <w:t xml:space="preserve">, опалення місць загального користування, гаряче водопостачання (у разі ведення обліку теплової енергії у гарячій воді), </w:t>
      </w:r>
      <w:r w:rsidR="00A40E72" w:rsidRPr="00F4400F">
        <w:rPr>
          <w:b/>
          <w:bCs/>
          <w:color w:val="333333"/>
          <w:sz w:val="28"/>
          <w:szCs w:val="28"/>
        </w:rPr>
        <w:t xml:space="preserve">забезпечення функціонування </w:t>
      </w:r>
      <w:proofErr w:type="spellStart"/>
      <w:r w:rsidR="00A40E72" w:rsidRPr="00F4400F">
        <w:rPr>
          <w:b/>
          <w:bCs/>
          <w:color w:val="333333"/>
          <w:sz w:val="28"/>
          <w:szCs w:val="28"/>
        </w:rPr>
        <w:t>внутрішньобудинкових</w:t>
      </w:r>
      <w:proofErr w:type="spellEnd"/>
      <w:r w:rsidR="00A40E72" w:rsidRPr="00F4400F">
        <w:rPr>
          <w:b/>
          <w:bCs/>
          <w:color w:val="333333"/>
          <w:sz w:val="28"/>
          <w:szCs w:val="28"/>
        </w:rPr>
        <w:t xml:space="preserve"> систем опалення</w:t>
      </w:r>
      <w:r w:rsidR="00A40E72" w:rsidRPr="00296414">
        <w:rPr>
          <w:color w:val="333333"/>
          <w:sz w:val="28"/>
          <w:szCs w:val="28"/>
        </w:rPr>
        <w:t xml:space="preserve"> та гарячого водопостачання (за наявності циркуляції) та розподіляється між споживачами в порядку, визначеному </w:t>
      </w:r>
      <w:hyperlink r:id="rId6" w:anchor="n139" w:tgtFrame="_blank" w:history="1">
        <w:r w:rsidR="00A40E72" w:rsidRPr="00296414">
          <w:rPr>
            <w:rStyle w:val="a3"/>
            <w:color w:val="000099"/>
            <w:sz w:val="28"/>
            <w:szCs w:val="28"/>
          </w:rPr>
          <w:t>статтею 10</w:t>
        </w:r>
      </w:hyperlink>
      <w:r w:rsidR="00A40E72" w:rsidRPr="00296414">
        <w:rPr>
          <w:color w:val="333333"/>
          <w:sz w:val="28"/>
          <w:szCs w:val="28"/>
        </w:rPr>
        <w:t> Закону України “Про комерційний облік теплової енергії та водопостачання”.</w:t>
      </w:r>
    </w:p>
    <w:p w14:paraId="54B51A2D" w14:textId="48F55276" w:rsidR="00A40E72" w:rsidRPr="00F4400F" w:rsidRDefault="00A40E72" w:rsidP="00A40E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bCs/>
          <w:color w:val="333333"/>
          <w:sz w:val="28"/>
          <w:szCs w:val="28"/>
        </w:rPr>
      </w:pPr>
      <w:bookmarkStart w:id="0" w:name="n355"/>
      <w:bookmarkEnd w:id="0"/>
      <w:r w:rsidRPr="00296414">
        <w:rPr>
          <w:color w:val="333333"/>
          <w:sz w:val="28"/>
          <w:szCs w:val="28"/>
        </w:rPr>
        <w:t xml:space="preserve">Обсяг теплової енергії, витраченої на опалення місць загального користування та допоміжних приміщень будівлі, а також на забезпечення функціонування </w:t>
      </w:r>
      <w:proofErr w:type="spellStart"/>
      <w:r w:rsidRPr="00296414">
        <w:rPr>
          <w:color w:val="333333"/>
          <w:sz w:val="28"/>
          <w:szCs w:val="28"/>
        </w:rPr>
        <w:t>внутрішньобудинкових</w:t>
      </w:r>
      <w:proofErr w:type="spellEnd"/>
      <w:r w:rsidRPr="00296414">
        <w:rPr>
          <w:color w:val="333333"/>
          <w:sz w:val="28"/>
          <w:szCs w:val="28"/>
        </w:rPr>
        <w:t xml:space="preserve"> систем опалення та гарячого водопостачання, </w:t>
      </w:r>
      <w:r w:rsidRPr="00F4400F">
        <w:rPr>
          <w:b/>
          <w:bCs/>
          <w:color w:val="333333"/>
          <w:sz w:val="28"/>
          <w:szCs w:val="28"/>
        </w:rPr>
        <w:t>розподіляється також на споживачів, приміщення яких обладнані індивідуальними системами опалення та/або гарячого водопостачання або відокремлені (відключені) від системи (мережі) централізованого опалення (теплопостачання) та постачання гарячої води</w:t>
      </w:r>
      <w:r w:rsidR="004F66FB" w:rsidRPr="00F4400F">
        <w:rPr>
          <w:b/>
          <w:bCs/>
          <w:color w:val="333333"/>
          <w:sz w:val="28"/>
          <w:szCs w:val="28"/>
        </w:rPr>
        <w:t>»</w:t>
      </w:r>
      <w:r w:rsidR="00F4400F">
        <w:rPr>
          <w:b/>
          <w:bCs/>
          <w:color w:val="333333"/>
          <w:sz w:val="28"/>
          <w:szCs w:val="28"/>
        </w:rPr>
        <w:t>.</w:t>
      </w:r>
    </w:p>
    <w:sectPr w:rsidR="00A40E72" w:rsidRPr="00F44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42"/>
    <w:multiLevelType w:val="hybridMultilevel"/>
    <w:tmpl w:val="A6EC2796"/>
    <w:lvl w:ilvl="0" w:tplc="43629892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167D3C"/>
    <w:multiLevelType w:val="hybridMultilevel"/>
    <w:tmpl w:val="148CC41A"/>
    <w:lvl w:ilvl="0" w:tplc="FB988D80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5E"/>
    <w:rsid w:val="0004715E"/>
    <w:rsid w:val="00296414"/>
    <w:rsid w:val="002C4409"/>
    <w:rsid w:val="004722AF"/>
    <w:rsid w:val="004E6CAB"/>
    <w:rsid w:val="004F66FB"/>
    <w:rsid w:val="005331AB"/>
    <w:rsid w:val="006946F1"/>
    <w:rsid w:val="007702A0"/>
    <w:rsid w:val="008C0688"/>
    <w:rsid w:val="00A40E72"/>
    <w:rsid w:val="00C87E97"/>
    <w:rsid w:val="00F1222D"/>
    <w:rsid w:val="00F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6C5F"/>
  <w15:chartTrackingRefBased/>
  <w15:docId w15:val="{A3635B7D-8C7A-4B70-8B8D-7BEB486A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40E72"/>
    <w:rPr>
      <w:color w:val="0000FF"/>
      <w:u w:val="single"/>
    </w:rPr>
  </w:style>
  <w:style w:type="character" w:customStyle="1" w:styleId="rvts23">
    <w:name w:val="rvts23"/>
    <w:basedOn w:val="a0"/>
    <w:rsid w:val="0069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19-19" TargetMode="External"/><Relationship Id="rId5" Type="http://schemas.openxmlformats.org/officeDocument/2006/relationships/hyperlink" Target="https://zakon.rada.gov.ua/laws/show/211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Лепихина</dc:creator>
  <cp:keywords/>
  <dc:description/>
  <cp:lastModifiedBy>Олег Рудик</cp:lastModifiedBy>
  <cp:revision>4</cp:revision>
  <cp:lastPrinted>2021-12-08T09:55:00Z</cp:lastPrinted>
  <dcterms:created xsi:type="dcterms:W3CDTF">2021-12-08T10:08:00Z</dcterms:created>
  <dcterms:modified xsi:type="dcterms:W3CDTF">2021-12-08T11:40:00Z</dcterms:modified>
</cp:coreProperties>
</file>