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EB0C1C" w:rsidRPr="00EB0C1C" w:rsidRDefault="00EB0C1C" w:rsidP="00EB0C1C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Плити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перекриття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лотків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Код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згідно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Єдиним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закупівельним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словником ДК 021:2015–44110000-</w:t>
      </w:r>
      <w:proofErr w:type="gram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4 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Конструкційні</w:t>
      </w:r>
      <w:proofErr w:type="spellEnd"/>
      <w:proofErr w:type="gram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(ДК 021:2015–44114250-9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Бетонні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bCs/>
          <w:sz w:val="28"/>
          <w:szCs w:val="28"/>
        </w:rPr>
        <w:t>плити</w:t>
      </w:r>
      <w:proofErr w:type="spellEnd"/>
      <w:r w:rsidRPr="00EB0C1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>
        <w:rPr>
          <w:rStyle w:val="tendertuid2nhc4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UA-2023-03-10-003247-a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Default="00074DD2" w:rsidP="00074DD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перекриття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лотків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мають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плоску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прямокутну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покриття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тунелів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камер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збірних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залізобетонних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Для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жорсткості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конструкція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має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потовщення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периметру.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ставляться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лотки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згори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як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своєрідна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кришка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Кріплення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робиться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приварюванням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заставних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деталей.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Певний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типоразмер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будівельного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елементу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можна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використати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як днища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згори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кладуться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лотки в перевернутому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глибина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0,5 до 6 м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плит :</w:t>
      </w:r>
      <w:proofErr w:type="gram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інженерних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корозії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руйнування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ізоляції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обгороджування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порожнини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каналів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попадання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грунту;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герметизація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грунтових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вод.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Будівельний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елемент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використовуються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підземних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комунікаціях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у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конструкціях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розташовані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поверхні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у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складі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лоткових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переходів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інженерних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мереж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автомобільними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дорогами і </w:t>
      </w:r>
      <w:proofErr w:type="spellStart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залізничним</w:t>
      </w:r>
      <w:proofErr w:type="spellEnd"/>
      <w:r w:rsidRPr="0007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полотном.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500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  <w:t>000</w:t>
      </w:r>
      <w:proofErr w:type="gramEnd"/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F27983" w:rsidRPr="00485813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p w:rsidR="00074DD2" w:rsidRDefault="00074DD2" w:rsidP="00074D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98" w:type="dxa"/>
        <w:tblLook w:val="04A0" w:firstRow="1" w:lastRow="0" w:firstColumn="1" w:lastColumn="0" w:noHBand="0" w:noVBand="1"/>
      </w:tblPr>
      <w:tblGrid>
        <w:gridCol w:w="1414"/>
        <w:gridCol w:w="2448"/>
        <w:gridCol w:w="1966"/>
        <w:gridCol w:w="2248"/>
        <w:gridCol w:w="1460"/>
      </w:tblGrid>
      <w:tr w:rsidR="00074DD2" w:rsidRPr="00074DD2" w:rsidTr="00074DD2">
        <w:trPr>
          <w:trHeight w:val="12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D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ТОВАРИСТВО З ОБМЕЖЕНОЮ ВІДПОВІДАЛЬНІСТЮ "НАФТОГАЗ ТЕПЛО"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074DD2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КОМУНАЛЬНЕ ПІДПРИЄМСТВО "ТЕПЛОВІ МЕРЕЖІ РОГАНСЬКОЇ СЕЛИЩНОЇ РАДИ"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lang w:eastAsia="ru-RU"/>
              </w:rPr>
            </w:pPr>
            <w:r w:rsidRPr="00074DD2">
              <w:rPr>
                <w:rFonts w:ascii="Times New Roman" w:eastAsia="Times New Roman" w:hAnsi="Times New Roman" w:cs="Times New Roman"/>
                <w:color w:val="454545"/>
                <w:lang w:eastAsia="ru-RU"/>
              </w:rPr>
              <w:t>ПРИВАТНЕ АКЦІОНЕРНЕ ТОВАРИСТВО "НАЦІОНАЛЬНА ЕНЕРГЕТИЧНА КОМПАНІЯ "УКРЕНЕРГО"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середня</w:t>
            </w:r>
            <w:proofErr w:type="spellEnd"/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UA-2022-12-22-012231-a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074DD2">
              <w:rPr>
                <w:rFonts w:ascii="Arial" w:eastAsia="Times New Roman" w:hAnsi="Arial" w:cs="Arial"/>
                <w:color w:val="454545"/>
                <w:lang w:eastAsia="ru-RU"/>
              </w:rPr>
              <w:t>UA-2023-01-07-000043-a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074DD2">
              <w:rPr>
                <w:rFonts w:ascii="Arial" w:eastAsia="Times New Roman" w:hAnsi="Arial" w:cs="Arial"/>
                <w:color w:val="454545"/>
                <w:lang w:eastAsia="ru-RU"/>
              </w:rPr>
              <w:t>UA-2022-11-28-007981-a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Arial" w:eastAsia="Times New Roman" w:hAnsi="Arial" w:cs="Arial"/>
                <w:color w:val="454545"/>
                <w:lang w:eastAsia="ru-RU"/>
              </w:rPr>
            </w:pP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кількість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сума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58068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35397,25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074DD2">
              <w:rPr>
                <w:rFonts w:ascii="Arial" w:eastAsia="Times New Roman" w:hAnsi="Arial" w:cs="Arial"/>
                <w:color w:val="454545"/>
                <w:lang w:eastAsia="ru-RU"/>
              </w:rPr>
              <w:t>189 960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54545"/>
                <w:lang w:eastAsia="ru-RU"/>
              </w:rPr>
            </w:pP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 </w:t>
            </w:r>
            <w:proofErr w:type="spellStart"/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одиницю</w:t>
            </w:r>
            <w:proofErr w:type="spell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3871,2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3217,931818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633,2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2574,110606</w:t>
            </w: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DD2" w:rsidRPr="00074DD2" w:rsidTr="00074DD2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Необхідність </w:t>
            </w: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4DD2">
              <w:rPr>
                <w:rFonts w:ascii="Calibri" w:eastAsia="Times New Roman" w:hAnsi="Calibri" w:cs="Calibri"/>
                <w:color w:val="000000"/>
                <w:lang w:eastAsia="ru-RU"/>
              </w:rPr>
              <w:t>514822,1212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D2" w:rsidRPr="00074DD2" w:rsidRDefault="00074DD2" w:rsidP="00074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4DD2" w:rsidRPr="00074DD2" w:rsidRDefault="00074DD2" w:rsidP="00074DD2">
      <w:pPr>
        <w:rPr>
          <w:rFonts w:ascii="Times New Roman" w:hAnsi="Times New Roman" w:cs="Times New Roman"/>
          <w:sz w:val="28"/>
          <w:szCs w:val="28"/>
        </w:rPr>
      </w:pPr>
    </w:p>
    <w:sectPr w:rsidR="00074DD2" w:rsidRPr="000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2068C9"/>
    <w:rsid w:val="003936E3"/>
    <w:rsid w:val="00EB0C1C"/>
    <w:rsid w:val="00F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89B8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2023-04-03T08:13:00Z</dcterms:created>
  <dcterms:modified xsi:type="dcterms:W3CDTF">2023-04-03T08:25:00Z</dcterms:modified>
</cp:coreProperties>
</file>