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CD5F59" w:rsidRPr="00DE1A27" w:rsidRDefault="00CD5F59" w:rsidP="00CD5F59">
      <w:pPr>
        <w:spacing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A27">
        <w:rPr>
          <w:rFonts w:ascii="Times New Roman" w:hAnsi="Times New Roman" w:cs="Times New Roman"/>
          <w:b/>
          <w:bCs/>
          <w:sz w:val="28"/>
          <w:szCs w:val="28"/>
        </w:rPr>
        <w:t xml:space="preserve">Бензин та </w:t>
      </w:r>
      <w:proofErr w:type="spellStart"/>
      <w:r w:rsidRPr="00DE1A27">
        <w:rPr>
          <w:rFonts w:ascii="Times New Roman" w:hAnsi="Times New Roman" w:cs="Times New Roman"/>
          <w:b/>
          <w:bCs/>
          <w:sz w:val="28"/>
          <w:szCs w:val="28"/>
        </w:rPr>
        <w:t>дизельне</w:t>
      </w:r>
      <w:proofErr w:type="spellEnd"/>
      <w:r w:rsidRPr="00DE1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1A27">
        <w:rPr>
          <w:rFonts w:ascii="Times New Roman" w:hAnsi="Times New Roman" w:cs="Times New Roman"/>
          <w:b/>
          <w:bCs/>
          <w:sz w:val="28"/>
          <w:szCs w:val="28"/>
        </w:rPr>
        <w:t>паливо</w:t>
      </w:r>
      <w:proofErr w:type="spellEnd"/>
    </w:p>
    <w:p w:rsidR="00CD5F59" w:rsidRPr="00DE1A27" w:rsidRDefault="00CD5F59" w:rsidP="00CD5F59">
      <w:pPr>
        <w:spacing w:line="260" w:lineRule="exact"/>
        <w:jc w:val="center"/>
        <w:rPr>
          <w:rFonts w:ascii="Times New Roman" w:hAnsi="Times New Roman" w:cs="Times New Roman"/>
          <w:b/>
          <w:bCs/>
        </w:rPr>
      </w:pPr>
      <w:r w:rsidRPr="00DE1A27">
        <w:rPr>
          <w:rFonts w:ascii="Times New Roman" w:hAnsi="Times New Roman" w:cs="Times New Roman"/>
          <w:b/>
          <w:bCs/>
        </w:rPr>
        <w:t xml:space="preserve">(код </w:t>
      </w:r>
      <w:proofErr w:type="spellStart"/>
      <w:r w:rsidRPr="00DE1A27">
        <w:rPr>
          <w:rFonts w:ascii="Times New Roman" w:hAnsi="Times New Roman" w:cs="Times New Roman"/>
          <w:b/>
          <w:bCs/>
        </w:rPr>
        <w:t>згідно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з </w:t>
      </w:r>
      <w:proofErr w:type="spellStart"/>
      <w:r w:rsidRPr="00DE1A27">
        <w:rPr>
          <w:rFonts w:ascii="Times New Roman" w:hAnsi="Times New Roman" w:cs="Times New Roman"/>
          <w:b/>
          <w:bCs/>
        </w:rPr>
        <w:t>Єдиним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1A27">
        <w:rPr>
          <w:rFonts w:ascii="Times New Roman" w:hAnsi="Times New Roman" w:cs="Times New Roman"/>
          <w:b/>
          <w:bCs/>
        </w:rPr>
        <w:t>закупівельним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словником ДК 021:2015 - 09130000-9 </w:t>
      </w:r>
      <w:proofErr w:type="spellStart"/>
      <w:r w:rsidRPr="00DE1A27">
        <w:rPr>
          <w:rFonts w:ascii="Times New Roman" w:hAnsi="Times New Roman" w:cs="Times New Roman"/>
          <w:b/>
          <w:bCs/>
        </w:rPr>
        <w:t>Нафта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і </w:t>
      </w:r>
      <w:proofErr w:type="spellStart"/>
      <w:r w:rsidRPr="00DE1A27">
        <w:rPr>
          <w:rFonts w:ascii="Times New Roman" w:hAnsi="Times New Roman" w:cs="Times New Roman"/>
          <w:b/>
          <w:bCs/>
        </w:rPr>
        <w:t>дистиляти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</w:t>
      </w:r>
    </w:p>
    <w:p w:rsidR="00CD5F59" w:rsidRPr="00DE1A27" w:rsidRDefault="00CD5F59" w:rsidP="00CD5F59">
      <w:pPr>
        <w:spacing w:line="260" w:lineRule="exact"/>
        <w:jc w:val="center"/>
        <w:rPr>
          <w:rFonts w:ascii="Times New Roman" w:hAnsi="Times New Roman" w:cs="Times New Roman"/>
          <w:b/>
          <w:bCs/>
        </w:rPr>
      </w:pPr>
      <w:r w:rsidRPr="00DE1A27">
        <w:rPr>
          <w:rFonts w:ascii="Times New Roman" w:hAnsi="Times New Roman" w:cs="Times New Roman"/>
          <w:b/>
          <w:bCs/>
        </w:rPr>
        <w:t xml:space="preserve">(код ДК 021:2015 09132100-4 </w:t>
      </w:r>
      <w:proofErr w:type="spellStart"/>
      <w:r w:rsidRPr="00DE1A27">
        <w:rPr>
          <w:rFonts w:ascii="Times New Roman" w:hAnsi="Times New Roman" w:cs="Times New Roman"/>
          <w:b/>
          <w:bCs/>
        </w:rPr>
        <w:t>неетильований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бензин, 09134200-9 -</w:t>
      </w:r>
      <w:proofErr w:type="spellStart"/>
      <w:r w:rsidRPr="00DE1A27">
        <w:rPr>
          <w:rFonts w:ascii="Times New Roman" w:hAnsi="Times New Roman" w:cs="Times New Roman"/>
          <w:b/>
          <w:bCs/>
        </w:rPr>
        <w:t>дизельне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1A27">
        <w:rPr>
          <w:rFonts w:ascii="Times New Roman" w:hAnsi="Times New Roman" w:cs="Times New Roman"/>
          <w:b/>
          <w:bCs/>
        </w:rPr>
        <w:t>паливо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) 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 w:rsidR="00CD5F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D5F59"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</w:t>
      </w:r>
      <w:proofErr w:type="gramEnd"/>
      <w:r w:rsidR="00CD5F59"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-2023-03-15-012296-a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831" w:rsidRDefault="00CD5F59" w:rsidP="00074DD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придбання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бензину та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здійснюється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безперебійної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транспортних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засобів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ого</w:t>
      </w:r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</w:t>
      </w:r>
      <w:proofErr w:type="spellEnd"/>
      <w:proofErr w:type="gram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функцій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завдань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покладених</w:t>
      </w:r>
      <w:proofErr w:type="spellEnd"/>
      <w:r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підприємство</w:t>
      </w:r>
      <w:r w:rsidR="00074DD2" w:rsidRPr="00C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7983" w:rsidRPr="00F27983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CD5F59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3</w:t>
      </w:r>
      <w:proofErr w:type="gramEnd"/>
      <w:r w:rsidR="00CD5F59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213 000</w:t>
      </w:r>
    </w:p>
    <w:p w:rsidR="00F27983" w:rsidRDefault="00F27983" w:rsidP="00F2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CD5F59" w:rsidRDefault="00F27983" w:rsidP="00F2798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затверджена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примірна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18.02.2020 №275,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: 1)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комерційних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цінових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виробників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офіційних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дилерів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постачальників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3)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обмеження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конкуренції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ринку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певних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враховуючи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аналогічного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та/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минулих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періодів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інфляції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курсів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валют).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вказаної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методики,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використовується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подальшого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договорів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здійснювалося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вищевказаного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проведений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та з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постанови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№671.</w:t>
      </w:r>
    </w:p>
    <w:p w:rsidR="00CD5F59" w:rsidRDefault="00CD5F59" w:rsidP="00CD5F59">
      <w:r w:rsidRPr="003D7199">
        <w:t>https://index.minfin.com.ua/ua/markets/fuel/</w:t>
      </w:r>
    </w:p>
    <w:p w:rsidR="00CD5F59" w:rsidRDefault="00CD5F59" w:rsidP="00CD5F59">
      <w:pPr>
        <w:rPr>
          <w:rStyle w:val="1"/>
          <w:rFonts w:ascii="Arial" w:hAnsi="Arial" w:cs="Arial"/>
          <w:color w:val="000000"/>
          <w:sz w:val="21"/>
          <w:szCs w:val="21"/>
        </w:rPr>
      </w:pPr>
      <w:proofErr w:type="spellStart"/>
      <w:r>
        <w:t>Середні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пальне</w:t>
      </w:r>
      <w:proofErr w:type="spellEnd"/>
      <w:r>
        <w:t xml:space="preserve"> по </w:t>
      </w:r>
      <w:proofErr w:type="spellStart"/>
      <w:r>
        <w:t>Україні</w:t>
      </w:r>
      <w:proofErr w:type="spellEnd"/>
      <w:r>
        <w:t xml:space="preserve"> на 9.03.2023</w:t>
      </w:r>
      <w:r>
        <w:rPr>
          <w:rFonts w:ascii="Arial" w:hAnsi="Arial" w:cs="Arial"/>
          <w:color w:val="000000"/>
          <w:sz w:val="21"/>
          <w:szCs w:val="21"/>
        </w:rPr>
        <w:t xml:space="preserve">Вид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паливаЦіна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1"/>
          <w:rFonts w:ascii="Arial" w:hAnsi="Arial" w:cs="Arial"/>
          <w:color w:val="000000"/>
          <w:sz w:val="21"/>
          <w:szCs w:val="21"/>
        </w:rPr>
        <w:t>(грн.)</w:t>
      </w:r>
    </w:p>
    <w:p w:rsidR="00CD5F59" w:rsidRDefault="00CD5F59" w:rsidP="00CD5F59">
      <w:pPr>
        <w:rPr>
          <w:rFonts w:ascii="Arial" w:hAnsi="Arial" w:cs="Arial"/>
          <w:color w:val="000099"/>
          <w:sz w:val="17"/>
          <w:szCs w:val="17"/>
        </w:rPr>
      </w:pPr>
      <w:hyperlink r:id="rId4" w:history="1">
        <w:r>
          <w:rPr>
            <w:rStyle w:val="a3"/>
            <w:rFonts w:ascii="Arial" w:hAnsi="Arial" w:cs="Arial"/>
            <w:color w:val="003399"/>
            <w:sz w:val="21"/>
            <w:szCs w:val="21"/>
          </w:rPr>
          <w:t>Бензин А-95 преміум</w:t>
        </w:r>
      </w:hyperlink>
      <w:r>
        <w:rPr>
          <w:rFonts w:ascii="Arial" w:hAnsi="Arial" w:cs="Arial"/>
          <w:color w:val="000000"/>
          <w:sz w:val="21"/>
          <w:szCs w:val="21"/>
        </w:rPr>
        <w:t>49,26</w:t>
      </w:r>
      <w:r>
        <w:rPr>
          <w:rFonts w:ascii="Arial" w:hAnsi="Arial" w:cs="Arial"/>
          <w:color w:val="000099"/>
          <w:sz w:val="17"/>
          <w:szCs w:val="17"/>
        </w:rPr>
        <w:t>0.010.020%</w:t>
      </w:r>
    </w:p>
    <w:p w:rsidR="00CD5F59" w:rsidRDefault="00CD5F59" w:rsidP="00CD5F59">
      <w:pPr>
        <w:rPr>
          <w:rFonts w:ascii="Arial" w:hAnsi="Arial" w:cs="Arial"/>
          <w:color w:val="BB0000"/>
          <w:sz w:val="17"/>
          <w:szCs w:val="17"/>
        </w:rPr>
      </w:pPr>
      <w:hyperlink r:id="rId5" w:history="1">
        <w:r>
          <w:rPr>
            <w:rStyle w:val="a3"/>
            <w:rFonts w:ascii="Arial" w:hAnsi="Arial" w:cs="Arial"/>
            <w:color w:val="003399"/>
            <w:sz w:val="21"/>
            <w:szCs w:val="21"/>
          </w:rPr>
          <w:t>Бензин А-95</w:t>
        </w:r>
      </w:hyperlink>
      <w:r>
        <w:rPr>
          <w:rFonts w:ascii="Arial" w:hAnsi="Arial" w:cs="Arial"/>
          <w:color w:val="000000"/>
          <w:sz w:val="21"/>
          <w:szCs w:val="21"/>
        </w:rPr>
        <w:t>47,42</w:t>
      </w:r>
      <w:r>
        <w:rPr>
          <w:rFonts w:ascii="Arial" w:hAnsi="Arial" w:cs="Arial"/>
          <w:color w:val="BB0000"/>
          <w:sz w:val="17"/>
          <w:szCs w:val="17"/>
        </w:rPr>
        <w:t>-0.05-0.105%</w:t>
      </w:r>
    </w:p>
    <w:p w:rsidR="00CD5F59" w:rsidRDefault="00CD5F59" w:rsidP="00CD5F59">
      <w:pPr>
        <w:rPr>
          <w:rFonts w:ascii="Arial" w:hAnsi="Arial" w:cs="Arial"/>
          <w:color w:val="BB0000"/>
          <w:sz w:val="17"/>
          <w:szCs w:val="17"/>
        </w:rPr>
      </w:pPr>
      <w:hyperlink r:id="rId6" w:history="1">
        <w:r>
          <w:rPr>
            <w:rStyle w:val="a3"/>
            <w:rFonts w:ascii="Arial" w:hAnsi="Arial" w:cs="Arial"/>
            <w:color w:val="003399"/>
            <w:sz w:val="21"/>
            <w:szCs w:val="21"/>
          </w:rPr>
          <w:t>Бензин А-92</w:t>
        </w:r>
      </w:hyperlink>
      <w:r>
        <w:rPr>
          <w:rFonts w:ascii="Arial" w:hAnsi="Arial" w:cs="Arial"/>
          <w:color w:val="000000"/>
          <w:sz w:val="21"/>
          <w:szCs w:val="21"/>
        </w:rPr>
        <w:t>46,54</w:t>
      </w:r>
      <w:r>
        <w:rPr>
          <w:rFonts w:ascii="Arial" w:hAnsi="Arial" w:cs="Arial"/>
          <w:color w:val="BB0000"/>
          <w:sz w:val="17"/>
          <w:szCs w:val="17"/>
        </w:rPr>
        <w:t>-0.01-0.022%</w:t>
      </w:r>
    </w:p>
    <w:p w:rsidR="00CD5F59" w:rsidRDefault="00CD5F59" w:rsidP="00CD5F59">
      <w:pPr>
        <w:rPr>
          <w:rFonts w:ascii="Arial" w:hAnsi="Arial" w:cs="Arial"/>
          <w:color w:val="BB0000"/>
          <w:sz w:val="17"/>
          <w:szCs w:val="17"/>
        </w:rPr>
      </w:pPr>
      <w:hyperlink r:id="rId7" w:history="1">
        <w:proofErr w:type="spellStart"/>
        <w:r>
          <w:rPr>
            <w:rStyle w:val="a3"/>
            <w:rFonts w:ascii="Arial" w:hAnsi="Arial" w:cs="Arial"/>
            <w:color w:val="003399"/>
            <w:sz w:val="21"/>
            <w:szCs w:val="21"/>
          </w:rPr>
          <w:t>Дизельне</w:t>
        </w:r>
        <w:proofErr w:type="spellEnd"/>
        <w:r>
          <w:rPr>
            <w:rStyle w:val="a3"/>
            <w:rFonts w:ascii="Arial" w:hAnsi="Arial" w:cs="Arial"/>
            <w:color w:val="003399"/>
            <w:sz w:val="21"/>
            <w:szCs w:val="21"/>
          </w:rPr>
          <w:t xml:space="preserve"> паливо</w:t>
        </w:r>
      </w:hyperlink>
      <w:r>
        <w:rPr>
          <w:rFonts w:ascii="Arial" w:hAnsi="Arial" w:cs="Arial"/>
          <w:color w:val="000000"/>
          <w:sz w:val="21"/>
          <w:szCs w:val="21"/>
        </w:rPr>
        <w:t>49,07</w:t>
      </w:r>
      <w:r>
        <w:rPr>
          <w:rFonts w:ascii="Arial" w:hAnsi="Arial" w:cs="Arial"/>
          <w:color w:val="BB0000"/>
          <w:sz w:val="17"/>
          <w:szCs w:val="17"/>
        </w:rPr>
        <w:t>-0.09-0.183%</w:t>
      </w:r>
    </w:p>
    <w:p w:rsidR="00CD5F59" w:rsidRDefault="00CD5F59" w:rsidP="00CD5F59">
      <w:hyperlink r:id="rId8" w:history="1">
        <w:r>
          <w:rPr>
            <w:rStyle w:val="a3"/>
            <w:rFonts w:ascii="Arial" w:hAnsi="Arial" w:cs="Arial"/>
            <w:color w:val="003399"/>
            <w:sz w:val="21"/>
            <w:szCs w:val="21"/>
          </w:rPr>
          <w:t>Газ авто</w:t>
        </w:r>
        <w:r>
          <w:rPr>
            <w:rStyle w:val="a3"/>
            <w:rFonts w:ascii="Arial" w:hAnsi="Arial" w:cs="Arial"/>
            <w:color w:val="003399"/>
            <w:sz w:val="21"/>
            <w:szCs w:val="21"/>
          </w:rPr>
          <w:softHyphen/>
          <w:t>мобільний</w:t>
        </w:r>
      </w:hyperlink>
      <w:r>
        <w:rPr>
          <w:rFonts w:ascii="Arial" w:hAnsi="Arial" w:cs="Arial"/>
          <w:color w:val="000000"/>
          <w:sz w:val="21"/>
          <w:szCs w:val="21"/>
        </w:rPr>
        <w:t>23,07</w:t>
      </w:r>
      <w:r>
        <w:rPr>
          <w:rFonts w:ascii="Arial" w:hAnsi="Arial" w:cs="Arial"/>
          <w:color w:val="BB0000"/>
          <w:sz w:val="17"/>
          <w:szCs w:val="17"/>
        </w:rPr>
        <w:t>-0.12-0.518%</w:t>
      </w:r>
    </w:p>
    <w:tbl>
      <w:tblPr>
        <w:tblW w:w="0" w:type="auto"/>
        <w:tblCellSpacing w:w="0" w:type="dxa"/>
        <w:tblBorders>
          <w:top w:val="single" w:sz="6" w:space="0" w:color="115599"/>
          <w:bottom w:val="single" w:sz="6" w:space="0" w:color="1155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6"/>
        <w:gridCol w:w="501"/>
        <w:gridCol w:w="501"/>
        <w:gridCol w:w="6"/>
        <w:gridCol w:w="501"/>
        <w:gridCol w:w="501"/>
      </w:tblGrid>
      <w:tr w:rsidR="00CD5F59" w:rsidRPr="003D7199" w:rsidTr="00FF1B4B">
        <w:trPr>
          <w:tblCellSpacing w:w="0" w:type="dxa"/>
        </w:trPr>
        <w:tc>
          <w:tcPr>
            <w:tcW w:w="0" w:type="auto"/>
            <w:gridSpan w:val="7"/>
            <w:tcBorders>
              <w:bottom w:val="single" w:sz="6" w:space="0" w:color="115599"/>
            </w:tcBorders>
            <w:shd w:val="clear" w:color="auto" w:fill="115599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3D7199">
                <w:rPr>
                  <w:rFonts w:ascii="Verdana" w:eastAsia="Times New Roman" w:hAnsi="Verdana" w:cs="Arial"/>
                  <w:b/>
                  <w:bCs/>
                  <w:color w:val="FFFFFF"/>
                  <w:sz w:val="20"/>
                  <w:szCs w:val="20"/>
                  <w:u w:val="single"/>
                  <w:lang w:eastAsia="ru-RU"/>
                </w:rPr>
                <w:t>Херсонська</w:t>
              </w:r>
              <w:proofErr w:type="spellEnd"/>
              <w:r w:rsidRPr="003D7199">
                <w:rPr>
                  <w:rFonts w:ascii="Verdana" w:eastAsia="Times New Roman" w:hAnsi="Verdana" w:cs="Arial"/>
                  <w:b/>
                  <w:bCs/>
                  <w:color w:val="FFFFFF"/>
                  <w:sz w:val="20"/>
                  <w:szCs w:val="20"/>
                  <w:u w:val="single"/>
                  <w:lang w:eastAsia="ru-RU"/>
                </w:rPr>
                <w:t xml:space="preserve"> обл.</w:t>
              </w:r>
            </w:hyperlink>
          </w:p>
        </w:tc>
      </w:tr>
      <w:tr w:rsidR="00CD5F59" w:rsidRPr="003D7199" w:rsidTr="00FF1B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БРСМ-</w:t>
            </w:r>
            <w:proofErr w:type="spellStart"/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Нафта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24,49</w:t>
            </w:r>
          </w:p>
        </w:tc>
      </w:tr>
      <w:tr w:rsidR="00CD5F59" w:rsidRPr="003D7199" w:rsidTr="00FF1B4B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AMIC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D5F59" w:rsidRPr="003D7199" w:rsidTr="00FF1B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Mango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24,80</w:t>
            </w:r>
          </w:p>
        </w:tc>
      </w:tr>
      <w:tr w:rsidR="00CD5F59" w:rsidRPr="003D7199" w:rsidTr="00FF1B4B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ОККО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24,99</w:t>
            </w:r>
          </w:p>
        </w:tc>
      </w:tr>
      <w:tr w:rsidR="00CD5F59" w:rsidRPr="003D7199" w:rsidTr="00FF1B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U.GO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F59" w:rsidRPr="003D7199" w:rsidRDefault="00CD5F59" w:rsidP="00FF1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22,95</w:t>
            </w:r>
          </w:p>
        </w:tc>
      </w:tr>
    </w:tbl>
    <w:p w:rsidR="00CD5F59" w:rsidRDefault="00CD5F59" w:rsidP="00CD5F59"/>
    <w:p w:rsidR="00CD5F59" w:rsidRDefault="00CD5F59" w:rsidP="00CD5F59">
      <w:pPr>
        <w:rPr>
          <w:lang w:val="uk-UA"/>
        </w:rPr>
      </w:pPr>
      <w:r>
        <w:rPr>
          <w:lang w:val="uk-UA"/>
        </w:rPr>
        <w:t xml:space="preserve">із середньо ринкових беремо вищу границю через ризики підвищення ціни в період проведення процедури та </w:t>
      </w:r>
      <w:r>
        <w:rPr>
          <w:lang w:val="uk-UA"/>
        </w:rPr>
        <w:t xml:space="preserve">надходженням міста під </w:t>
      </w:r>
      <w:r>
        <w:rPr>
          <w:lang w:val="uk-UA"/>
        </w:rPr>
        <w:t xml:space="preserve">постійними </w:t>
      </w:r>
      <w:r>
        <w:rPr>
          <w:lang w:val="uk-UA"/>
        </w:rPr>
        <w:t>обстрілами</w:t>
      </w:r>
    </w:p>
    <w:p w:rsidR="00F27983" w:rsidRPr="00CD5F59" w:rsidRDefault="00F27983" w:rsidP="00CD5F59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F27983" w:rsidRPr="00C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74DD2"/>
    <w:rsid w:val="000A1FE1"/>
    <w:rsid w:val="002068C9"/>
    <w:rsid w:val="00222839"/>
    <w:rsid w:val="003936E3"/>
    <w:rsid w:val="0065495A"/>
    <w:rsid w:val="00980F33"/>
    <w:rsid w:val="00CD5F59"/>
    <w:rsid w:val="00EB0C1C"/>
    <w:rsid w:val="00F27983"/>
    <w:rsid w:val="00F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167B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  <w:style w:type="character" w:customStyle="1" w:styleId="1">
    <w:name w:val="Обычный1"/>
    <w:basedOn w:val="a0"/>
    <w:rsid w:val="00CD5F59"/>
  </w:style>
  <w:style w:type="character" w:styleId="a3">
    <w:name w:val="Hyperlink"/>
    <w:basedOn w:val="a0"/>
    <w:uiPriority w:val="99"/>
    <w:semiHidden/>
    <w:unhideWhenUsed/>
    <w:rsid w:val="00CD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minfin.com.ua/ua/markets/fuel/lp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dex.minfin.com.ua/ua/markets/fuel/d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ex.minfin.com.ua/ua/markets/fuel/a9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dex.minfin.com.ua/ua/markets/fuel/a9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dex.minfin.com.ua/ua/markets/fuel/a96/" TargetMode="External"/><Relationship Id="rId9" Type="http://schemas.openxmlformats.org/officeDocument/2006/relationships/hyperlink" Target="https://index.minfin.com.ua/ua/markets/fuel/reg/herson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2023-04-03T11:36:00Z</dcterms:created>
  <dcterms:modified xsi:type="dcterms:W3CDTF">2023-04-03T11:36:00Z</dcterms:modified>
</cp:coreProperties>
</file>